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D5" w:rsidRPr="00113800" w:rsidRDefault="00376AD5" w:rsidP="0040021F">
      <w:pPr>
        <w:jc w:val="center"/>
        <w:rPr>
          <w:rFonts w:ascii="Segoe UI" w:hAnsi="Segoe UI" w:cs="Segoe UI"/>
          <w:b/>
          <w:sz w:val="24"/>
          <w:szCs w:val="24"/>
          <w:u w:val="single"/>
        </w:rPr>
      </w:pPr>
      <w:r w:rsidRPr="00113800">
        <w:rPr>
          <w:rFonts w:ascii="Segoe UI" w:hAnsi="Segoe UI" w:cs="Segoe UI"/>
          <w:b/>
          <w:sz w:val="24"/>
          <w:szCs w:val="24"/>
          <w:u w:val="single"/>
        </w:rPr>
        <w:t>DECISÃO SUSPENSÃO DE LICITAÇÃO PARA FINS DE ADEQUAÇÃO DO EDITAL</w:t>
      </w:r>
    </w:p>
    <w:p w:rsidR="0040021F" w:rsidRPr="00113800" w:rsidRDefault="0040021F" w:rsidP="0040021F">
      <w:pPr>
        <w:jc w:val="center"/>
        <w:rPr>
          <w:rFonts w:ascii="Segoe UI" w:hAnsi="Segoe UI" w:cs="Segoe UI"/>
          <w:b/>
          <w:sz w:val="24"/>
          <w:szCs w:val="24"/>
          <w:u w:val="single"/>
        </w:rPr>
      </w:pPr>
      <w:r w:rsidRPr="00113800">
        <w:rPr>
          <w:rFonts w:ascii="Segoe UI" w:hAnsi="Segoe UI" w:cs="Segoe UI"/>
          <w:b/>
          <w:sz w:val="24"/>
          <w:szCs w:val="24"/>
          <w:u w:val="single"/>
        </w:rPr>
        <w:t xml:space="preserve"> DE PREGÃO PRESENCIAL Nº 1</w:t>
      </w:r>
      <w:r w:rsidR="00376AD5" w:rsidRPr="00113800">
        <w:rPr>
          <w:rFonts w:ascii="Segoe UI" w:hAnsi="Segoe UI" w:cs="Segoe UI"/>
          <w:b/>
          <w:sz w:val="24"/>
          <w:szCs w:val="24"/>
          <w:u w:val="single"/>
        </w:rPr>
        <w:t>7</w:t>
      </w:r>
      <w:r w:rsidRPr="00113800">
        <w:rPr>
          <w:rFonts w:ascii="Segoe UI" w:hAnsi="Segoe UI" w:cs="Segoe UI"/>
          <w:b/>
          <w:sz w:val="24"/>
          <w:szCs w:val="24"/>
          <w:u w:val="single"/>
        </w:rPr>
        <w:t>/2013</w:t>
      </w:r>
    </w:p>
    <w:p w:rsidR="00376AD5" w:rsidRPr="00113800" w:rsidRDefault="0040021F" w:rsidP="0040021F">
      <w:pPr>
        <w:jc w:val="both"/>
        <w:rPr>
          <w:rFonts w:ascii="Segoe UI" w:hAnsi="Segoe UI" w:cs="Segoe UI"/>
          <w:sz w:val="24"/>
          <w:szCs w:val="24"/>
        </w:rPr>
      </w:pPr>
      <w:r w:rsidRPr="00113800">
        <w:rPr>
          <w:rFonts w:ascii="Segoe UI" w:hAnsi="Segoe UI" w:cs="Segoe UI"/>
          <w:b/>
          <w:i/>
          <w:sz w:val="24"/>
          <w:szCs w:val="24"/>
        </w:rPr>
        <w:t>Considerando</w:t>
      </w:r>
      <w:r w:rsidRPr="00113800">
        <w:rPr>
          <w:rFonts w:ascii="Segoe UI" w:hAnsi="Segoe UI" w:cs="Segoe UI"/>
          <w:sz w:val="24"/>
          <w:szCs w:val="24"/>
        </w:rPr>
        <w:t xml:space="preserve"> </w:t>
      </w:r>
      <w:r w:rsidR="00376AD5" w:rsidRPr="00113800">
        <w:rPr>
          <w:rFonts w:ascii="Segoe UI" w:hAnsi="Segoe UI" w:cs="Segoe UI"/>
          <w:sz w:val="24"/>
          <w:szCs w:val="24"/>
        </w:rPr>
        <w:t>que consta no anexo II do edital de pregão presencial especificação e  definição de objetos em lotes, possibilitando produtos com diferentes tonalidades, quando o objeto licitado busca justamente uniformidade dos produtos a serem adquiridos.</w:t>
      </w:r>
    </w:p>
    <w:p w:rsidR="00376AD5" w:rsidRPr="00113800" w:rsidRDefault="00376AD5" w:rsidP="0040021F">
      <w:pPr>
        <w:jc w:val="both"/>
        <w:rPr>
          <w:rFonts w:ascii="Segoe UI" w:hAnsi="Segoe UI" w:cs="Segoe UI"/>
          <w:sz w:val="24"/>
          <w:szCs w:val="24"/>
        </w:rPr>
      </w:pPr>
      <w:r w:rsidRPr="00113800">
        <w:rPr>
          <w:rFonts w:ascii="Segoe UI" w:hAnsi="Segoe UI" w:cs="Segoe UI"/>
          <w:b/>
          <w:i/>
          <w:sz w:val="24"/>
          <w:szCs w:val="24"/>
        </w:rPr>
        <w:t>Considerando</w:t>
      </w:r>
      <w:r w:rsidRPr="00113800">
        <w:rPr>
          <w:rFonts w:ascii="Segoe UI" w:hAnsi="Segoe UI" w:cs="Segoe UI"/>
          <w:sz w:val="24"/>
          <w:szCs w:val="24"/>
        </w:rPr>
        <w:t xml:space="preserve"> divergência apontada ainda na fase de apresentação de propostas, inviabilizando o prosseguimento do processo licitatório em razão da ausência de especificação clara e precisa os itens/objetos/lotes a serem licitados. </w:t>
      </w:r>
    </w:p>
    <w:p w:rsidR="000B68D2" w:rsidRPr="00113800" w:rsidRDefault="000B68D2" w:rsidP="0040021F">
      <w:pPr>
        <w:jc w:val="both"/>
        <w:rPr>
          <w:rFonts w:ascii="Segoe UI" w:hAnsi="Segoe UI" w:cs="Segoe UI"/>
          <w:sz w:val="24"/>
          <w:szCs w:val="24"/>
        </w:rPr>
      </w:pPr>
      <w:r w:rsidRPr="00113800">
        <w:rPr>
          <w:rFonts w:ascii="Segoe UI" w:hAnsi="Segoe UI" w:cs="Segoe UI"/>
          <w:b/>
          <w:i/>
          <w:sz w:val="24"/>
          <w:szCs w:val="24"/>
        </w:rPr>
        <w:t>Considerando</w:t>
      </w:r>
      <w:r w:rsidRPr="00113800">
        <w:rPr>
          <w:rFonts w:ascii="Segoe UI" w:hAnsi="Segoe UI" w:cs="Segoe UI"/>
          <w:b/>
          <w:sz w:val="24"/>
          <w:szCs w:val="24"/>
        </w:rPr>
        <w:t xml:space="preserve"> </w:t>
      </w:r>
      <w:r w:rsidRPr="00113800">
        <w:rPr>
          <w:rFonts w:ascii="Segoe UI" w:hAnsi="Segoe UI" w:cs="Segoe UI"/>
          <w:sz w:val="24"/>
          <w:szCs w:val="24"/>
        </w:rPr>
        <w:t>que o Poder Público deve rever suas decisões para anular seus próprios atos, quando ilegais, pois desses atos não se originam direitos, conforme princípio da autotutela, de aplicação pacífica, conforme Súmula 473 do Supremo Tribunal Federal.</w:t>
      </w:r>
    </w:p>
    <w:p w:rsidR="000B68D2" w:rsidRPr="00113800" w:rsidRDefault="000B68D2" w:rsidP="0040021F">
      <w:pPr>
        <w:jc w:val="both"/>
        <w:rPr>
          <w:rFonts w:ascii="Segoe UI" w:hAnsi="Segoe UI" w:cs="Segoe UI"/>
          <w:sz w:val="24"/>
          <w:szCs w:val="24"/>
        </w:rPr>
      </w:pPr>
      <w:r w:rsidRPr="00113800">
        <w:rPr>
          <w:rFonts w:ascii="Segoe UI" w:hAnsi="Segoe UI" w:cs="Segoe UI"/>
          <w:b/>
          <w:i/>
          <w:sz w:val="24"/>
          <w:szCs w:val="24"/>
          <w:u w:val="single"/>
        </w:rPr>
        <w:t>DECIDO</w:t>
      </w:r>
      <w:r w:rsidRPr="00113800">
        <w:rPr>
          <w:rFonts w:ascii="Segoe UI" w:hAnsi="Segoe UI" w:cs="Segoe UI"/>
          <w:sz w:val="24"/>
          <w:szCs w:val="24"/>
        </w:rPr>
        <w:t xml:space="preserve"> por </w:t>
      </w:r>
      <w:r w:rsidR="00376AD5" w:rsidRPr="00113800">
        <w:rPr>
          <w:rFonts w:ascii="Segoe UI" w:hAnsi="Segoe UI" w:cs="Segoe UI"/>
          <w:sz w:val="24"/>
          <w:szCs w:val="24"/>
        </w:rPr>
        <w:t xml:space="preserve">SUSPENDER O PRESENTE PROCESSO LICITATÓRIO PARA FINS DE ADEQUAÇÃO DO </w:t>
      </w:r>
      <w:r w:rsidR="00113800" w:rsidRPr="00113800">
        <w:rPr>
          <w:rFonts w:ascii="Segoe UI" w:hAnsi="Segoe UI" w:cs="Segoe UI"/>
          <w:sz w:val="24"/>
          <w:szCs w:val="24"/>
        </w:rPr>
        <w:t xml:space="preserve">EDITAL 017/2013 E SEU ANEXO II. </w:t>
      </w:r>
    </w:p>
    <w:p w:rsidR="00376AD5" w:rsidRPr="00113800" w:rsidRDefault="00376AD5" w:rsidP="0040021F">
      <w:pPr>
        <w:jc w:val="both"/>
        <w:rPr>
          <w:rFonts w:ascii="Segoe UI" w:hAnsi="Segoe UI" w:cs="Segoe UI"/>
          <w:sz w:val="24"/>
          <w:szCs w:val="24"/>
        </w:rPr>
      </w:pPr>
      <w:r w:rsidRPr="00113800">
        <w:rPr>
          <w:rFonts w:ascii="Segoe UI" w:hAnsi="Segoe UI" w:cs="Segoe UI"/>
          <w:sz w:val="24"/>
          <w:szCs w:val="24"/>
        </w:rPr>
        <w:t>A E</w:t>
      </w:r>
      <w:r w:rsidR="00113800" w:rsidRPr="00113800">
        <w:rPr>
          <w:rFonts w:ascii="Segoe UI" w:hAnsi="Segoe UI" w:cs="Segoe UI"/>
          <w:sz w:val="24"/>
          <w:szCs w:val="24"/>
        </w:rPr>
        <w:t xml:space="preserve">mpresa </w:t>
      </w:r>
      <w:r w:rsidRPr="00113800">
        <w:rPr>
          <w:rFonts w:ascii="Segoe UI" w:hAnsi="Segoe UI" w:cs="Segoe UI"/>
          <w:sz w:val="24"/>
          <w:szCs w:val="24"/>
        </w:rPr>
        <w:t>Claiton Cesar Maggi ME, CNPJ 10.716.313/0001-02</w:t>
      </w:r>
      <w:r w:rsidR="00113800" w:rsidRPr="00113800">
        <w:rPr>
          <w:rFonts w:ascii="Segoe UI" w:hAnsi="Segoe UI" w:cs="Segoe UI"/>
          <w:sz w:val="24"/>
          <w:szCs w:val="24"/>
        </w:rPr>
        <w:t xml:space="preserve"> manifesta interesse em recorrer da presente decisão, razão pela qual fica o processo pendente de recurso, restando ciente todos os presentes. </w:t>
      </w:r>
    </w:p>
    <w:p w:rsidR="000B68D2" w:rsidRPr="00113800" w:rsidRDefault="000B68D2" w:rsidP="0040021F">
      <w:pPr>
        <w:jc w:val="both"/>
        <w:rPr>
          <w:rFonts w:ascii="Segoe UI" w:hAnsi="Segoe UI" w:cs="Segoe UI"/>
          <w:sz w:val="24"/>
          <w:szCs w:val="24"/>
        </w:rPr>
      </w:pPr>
      <w:r w:rsidRPr="00113800">
        <w:rPr>
          <w:rFonts w:ascii="Segoe UI" w:hAnsi="Segoe UI" w:cs="Segoe UI"/>
          <w:sz w:val="24"/>
          <w:szCs w:val="24"/>
        </w:rPr>
        <w:t xml:space="preserve">Esta decisão é afixada no site </w:t>
      </w:r>
      <w:hyperlink r:id="rId8" w:history="1">
        <w:r w:rsidRPr="00113800">
          <w:rPr>
            <w:rStyle w:val="Hyperlink"/>
            <w:rFonts w:ascii="Segoe UI" w:hAnsi="Segoe UI" w:cs="Segoe UI"/>
            <w:sz w:val="24"/>
            <w:szCs w:val="24"/>
          </w:rPr>
          <w:t>www.bocaina.sc.gov.br</w:t>
        </w:r>
      </w:hyperlink>
      <w:r w:rsidRPr="00113800">
        <w:rPr>
          <w:rFonts w:ascii="Segoe UI" w:hAnsi="Segoe UI" w:cs="Segoe UI"/>
          <w:sz w:val="24"/>
          <w:szCs w:val="24"/>
        </w:rPr>
        <w:t xml:space="preserve"> para conhecimento de todos os licitantes, sendo que qualquer interessado poderá ap</w:t>
      </w:r>
      <w:r w:rsidR="00113800">
        <w:rPr>
          <w:rFonts w:ascii="Segoe UI" w:hAnsi="Segoe UI" w:cs="Segoe UI"/>
          <w:sz w:val="24"/>
          <w:szCs w:val="24"/>
        </w:rPr>
        <w:t>resentar recurso no prazo legal.</w:t>
      </w:r>
    </w:p>
    <w:p w:rsidR="000B68D2" w:rsidRPr="00113800" w:rsidRDefault="000B68D2" w:rsidP="0040021F">
      <w:pPr>
        <w:jc w:val="both"/>
        <w:rPr>
          <w:rFonts w:ascii="Segoe UI" w:hAnsi="Segoe UI" w:cs="Segoe UI"/>
          <w:sz w:val="24"/>
          <w:szCs w:val="24"/>
        </w:rPr>
      </w:pPr>
      <w:r w:rsidRPr="00113800">
        <w:rPr>
          <w:rFonts w:ascii="Segoe UI" w:hAnsi="Segoe UI" w:cs="Segoe UI"/>
          <w:sz w:val="24"/>
          <w:szCs w:val="24"/>
        </w:rPr>
        <w:t xml:space="preserve">Bocaina do Sul, </w:t>
      </w:r>
      <w:r w:rsidR="00113800" w:rsidRPr="00113800">
        <w:rPr>
          <w:rFonts w:ascii="Segoe UI" w:hAnsi="Segoe UI" w:cs="Segoe UI"/>
          <w:sz w:val="24"/>
          <w:szCs w:val="24"/>
        </w:rPr>
        <w:t xml:space="preserve">24 de outubro de 2013. </w:t>
      </w:r>
    </w:p>
    <w:p w:rsidR="000B68D2" w:rsidRPr="00113800" w:rsidRDefault="000B68D2" w:rsidP="0040021F">
      <w:pPr>
        <w:jc w:val="both"/>
        <w:rPr>
          <w:rFonts w:ascii="Segoe UI" w:hAnsi="Segoe UI" w:cs="Segoe UI"/>
          <w:sz w:val="24"/>
          <w:szCs w:val="24"/>
        </w:rPr>
      </w:pPr>
    </w:p>
    <w:p w:rsidR="000B68D2" w:rsidRPr="00113800" w:rsidRDefault="000B68D2" w:rsidP="00113800">
      <w:pPr>
        <w:jc w:val="center"/>
        <w:rPr>
          <w:rFonts w:ascii="Segoe UI" w:hAnsi="Segoe UI" w:cs="Segoe UI"/>
          <w:b/>
          <w:sz w:val="24"/>
          <w:szCs w:val="24"/>
        </w:rPr>
      </w:pPr>
      <w:r w:rsidRPr="00113800">
        <w:rPr>
          <w:rFonts w:ascii="Segoe UI" w:hAnsi="Segoe UI" w:cs="Segoe UI"/>
          <w:b/>
          <w:sz w:val="24"/>
          <w:szCs w:val="24"/>
        </w:rPr>
        <w:t>MÔNICA CELESTINO FERREIRA</w:t>
      </w:r>
    </w:p>
    <w:p w:rsidR="000B68D2" w:rsidRPr="00113800" w:rsidRDefault="000B68D2" w:rsidP="00113800">
      <w:pPr>
        <w:jc w:val="center"/>
        <w:rPr>
          <w:rFonts w:ascii="Segoe UI" w:hAnsi="Segoe UI" w:cs="Segoe UI"/>
          <w:b/>
          <w:sz w:val="24"/>
          <w:szCs w:val="24"/>
        </w:rPr>
      </w:pPr>
      <w:r w:rsidRPr="00113800">
        <w:rPr>
          <w:rFonts w:ascii="Segoe UI" w:hAnsi="Segoe UI" w:cs="Segoe UI"/>
          <w:b/>
          <w:sz w:val="24"/>
          <w:szCs w:val="24"/>
        </w:rPr>
        <w:t>Pregoeira</w:t>
      </w:r>
    </w:p>
    <w:sectPr w:rsidR="000B68D2" w:rsidRPr="00113800" w:rsidSect="00582327">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4C9" w:rsidRDefault="000454C9" w:rsidP="00F31507">
      <w:pPr>
        <w:spacing w:after="0" w:line="240" w:lineRule="auto"/>
      </w:pPr>
      <w:r>
        <w:separator/>
      </w:r>
    </w:p>
  </w:endnote>
  <w:endnote w:type="continuationSeparator" w:id="1">
    <w:p w:rsidR="000454C9" w:rsidRDefault="000454C9" w:rsidP="00F31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4C9" w:rsidRDefault="000454C9" w:rsidP="00F31507">
      <w:pPr>
        <w:spacing w:after="0" w:line="240" w:lineRule="auto"/>
      </w:pPr>
      <w:r>
        <w:separator/>
      </w:r>
    </w:p>
  </w:footnote>
  <w:footnote w:type="continuationSeparator" w:id="1">
    <w:p w:rsidR="000454C9" w:rsidRDefault="000454C9" w:rsidP="00F315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A63FF"/>
    <w:multiLevelType w:val="hybridMultilevel"/>
    <w:tmpl w:val="75CA28E0"/>
    <w:lvl w:ilvl="0" w:tplc="ADD8BC1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629D"/>
    <w:rsid w:val="00031C84"/>
    <w:rsid w:val="00031D50"/>
    <w:rsid w:val="000454C9"/>
    <w:rsid w:val="00050AD1"/>
    <w:rsid w:val="000B68D2"/>
    <w:rsid w:val="000E7EEB"/>
    <w:rsid w:val="00113800"/>
    <w:rsid w:val="001356BB"/>
    <w:rsid w:val="00212542"/>
    <w:rsid w:val="00293BB1"/>
    <w:rsid w:val="00295E1E"/>
    <w:rsid w:val="002A70AE"/>
    <w:rsid w:val="002C2AD1"/>
    <w:rsid w:val="002C2CE1"/>
    <w:rsid w:val="00376AD5"/>
    <w:rsid w:val="00395BA5"/>
    <w:rsid w:val="0040021F"/>
    <w:rsid w:val="00437F83"/>
    <w:rsid w:val="005348F7"/>
    <w:rsid w:val="00582327"/>
    <w:rsid w:val="00597034"/>
    <w:rsid w:val="005D7268"/>
    <w:rsid w:val="005F63F5"/>
    <w:rsid w:val="006071CB"/>
    <w:rsid w:val="00610D67"/>
    <w:rsid w:val="006A444F"/>
    <w:rsid w:val="006C46EB"/>
    <w:rsid w:val="006D7B3B"/>
    <w:rsid w:val="00713F85"/>
    <w:rsid w:val="007864D3"/>
    <w:rsid w:val="007C5B3E"/>
    <w:rsid w:val="007E4ACC"/>
    <w:rsid w:val="007F24AF"/>
    <w:rsid w:val="008249D3"/>
    <w:rsid w:val="00851A21"/>
    <w:rsid w:val="00893FD1"/>
    <w:rsid w:val="008A58AE"/>
    <w:rsid w:val="009011E8"/>
    <w:rsid w:val="00974A3C"/>
    <w:rsid w:val="009A0053"/>
    <w:rsid w:val="00A011AA"/>
    <w:rsid w:val="00AB6403"/>
    <w:rsid w:val="00AE7F1E"/>
    <w:rsid w:val="00B27279"/>
    <w:rsid w:val="00B30242"/>
    <w:rsid w:val="00B64B18"/>
    <w:rsid w:val="00C025DA"/>
    <w:rsid w:val="00C3629D"/>
    <w:rsid w:val="00C4185B"/>
    <w:rsid w:val="00C53634"/>
    <w:rsid w:val="00C56914"/>
    <w:rsid w:val="00D77A18"/>
    <w:rsid w:val="00DE3C05"/>
    <w:rsid w:val="00EF33A9"/>
    <w:rsid w:val="00F31507"/>
    <w:rsid w:val="00F45ECB"/>
    <w:rsid w:val="00F73DA1"/>
    <w:rsid w:val="00F7407B"/>
    <w:rsid w:val="00FA56C4"/>
    <w:rsid w:val="00FE2341"/>
    <w:rsid w:val="00FF56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F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F31507"/>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F31507"/>
    <w:rPr>
      <w:sz w:val="20"/>
      <w:szCs w:val="20"/>
    </w:rPr>
  </w:style>
  <w:style w:type="character" w:styleId="Refdenotaderodap">
    <w:name w:val="footnote reference"/>
    <w:basedOn w:val="Fontepargpadro"/>
    <w:semiHidden/>
    <w:unhideWhenUsed/>
    <w:rsid w:val="00F31507"/>
    <w:rPr>
      <w:vertAlign w:val="superscript"/>
    </w:rPr>
  </w:style>
  <w:style w:type="paragraph" w:styleId="Corpodetexto">
    <w:name w:val="Body Text"/>
    <w:basedOn w:val="Normal"/>
    <w:link w:val="CorpodetextoChar"/>
    <w:rsid w:val="00DE3C0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E3C0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E3C05"/>
    <w:pPr>
      <w:ind w:left="720"/>
      <w:contextualSpacing/>
    </w:pPr>
  </w:style>
  <w:style w:type="paragraph" w:styleId="NormalWeb">
    <w:name w:val="Normal (Web)"/>
    <w:basedOn w:val="Normal"/>
    <w:uiPriority w:val="99"/>
    <w:semiHidden/>
    <w:unhideWhenUsed/>
    <w:rsid w:val="00C536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53634"/>
    <w:rPr>
      <w:color w:val="0000FF"/>
      <w:u w:val="single"/>
    </w:rPr>
  </w:style>
</w:styles>
</file>

<file path=word/webSettings.xml><?xml version="1.0" encoding="utf-8"?>
<w:webSettings xmlns:r="http://schemas.openxmlformats.org/officeDocument/2006/relationships" xmlns:w="http://schemas.openxmlformats.org/wordprocessingml/2006/main">
  <w:divs>
    <w:div w:id="1018121074">
      <w:bodyDiv w:val="1"/>
      <w:marLeft w:val="0"/>
      <w:marRight w:val="0"/>
      <w:marTop w:val="0"/>
      <w:marBottom w:val="0"/>
      <w:divBdr>
        <w:top w:val="none" w:sz="0" w:space="0" w:color="auto"/>
        <w:left w:val="none" w:sz="0" w:space="0" w:color="auto"/>
        <w:bottom w:val="none" w:sz="0" w:space="0" w:color="auto"/>
        <w:right w:val="none" w:sz="0" w:space="0" w:color="auto"/>
      </w:divBdr>
    </w:div>
    <w:div w:id="18272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0AC7-494B-4741-9E5E-D5A7A823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2013-10-24T12:50:00Z</cp:lastPrinted>
  <dcterms:created xsi:type="dcterms:W3CDTF">2013-10-24T12:53:00Z</dcterms:created>
  <dcterms:modified xsi:type="dcterms:W3CDTF">2013-10-24T12:53:00Z</dcterms:modified>
</cp:coreProperties>
</file>