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3B" w:rsidRPr="00033B27" w:rsidRDefault="00B83A3B" w:rsidP="00B83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27">
        <w:rPr>
          <w:rFonts w:ascii="Times New Roman" w:hAnsi="Times New Roman" w:cs="Times New Roman"/>
          <w:b/>
          <w:sz w:val="24"/>
          <w:szCs w:val="24"/>
        </w:rPr>
        <w:t>RESOLUÇÃO 00</w:t>
      </w:r>
      <w:r>
        <w:rPr>
          <w:rFonts w:ascii="Times New Roman" w:hAnsi="Times New Roman" w:cs="Times New Roman"/>
          <w:b/>
          <w:sz w:val="24"/>
          <w:szCs w:val="24"/>
        </w:rPr>
        <w:t>1/2021</w:t>
      </w:r>
      <w:r w:rsidRPr="00033B27">
        <w:rPr>
          <w:rFonts w:ascii="Times New Roman" w:hAnsi="Times New Roman" w:cs="Times New Roman"/>
          <w:b/>
          <w:sz w:val="24"/>
          <w:szCs w:val="24"/>
        </w:rPr>
        <w:t>-CMDCA</w:t>
      </w:r>
    </w:p>
    <w:p w:rsidR="00B83A3B" w:rsidRPr="00033B27" w:rsidRDefault="00B83A3B" w:rsidP="00B83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A3B" w:rsidRPr="00033B27" w:rsidRDefault="00B83A3B" w:rsidP="00B83A3B">
      <w:pPr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>Institui Comissão Especial Eleitoral para eleição dos membros do Conselho Tutelar de Bocaina do Sul e dá outras providências.</w:t>
      </w:r>
    </w:p>
    <w:p w:rsidR="00B83A3B" w:rsidRPr="00033B27" w:rsidRDefault="00B83A3B" w:rsidP="00B83A3B">
      <w:pPr>
        <w:pStyle w:val="Default"/>
        <w:rPr>
          <w:rFonts w:ascii="Times New Roman" w:hAnsi="Times New Roman" w:cs="Times New Roman"/>
        </w:rPr>
      </w:pP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 O Conselho Municipal dos Direitos da Criança e do Adolescente de Bocaina do Sul, no uso de suas atribuições legais, considerando o disposto no art. 132 e 139 da Lei Federal n. 8.069/1990 (Estatuto da Criança e do Adolescente), na Resolução Conanda n. 170/2014, na Lei Municipal nº 112 de 07 de junho de 2013, conf</w:t>
      </w:r>
      <w:r w:rsidR="00AA5FA1">
        <w:rPr>
          <w:rFonts w:ascii="Times New Roman" w:hAnsi="Times New Roman" w:cs="Times New Roman"/>
          <w:sz w:val="24"/>
          <w:szCs w:val="24"/>
        </w:rPr>
        <w:t xml:space="preserve">orme previsto na Ata do CMDCA </w:t>
      </w:r>
      <w:proofErr w:type="gramStart"/>
      <w:r w:rsidR="00AA5FA1">
        <w:rPr>
          <w:rFonts w:ascii="Times New Roman" w:hAnsi="Times New Roman" w:cs="Times New Roman"/>
          <w:sz w:val="24"/>
          <w:szCs w:val="24"/>
        </w:rPr>
        <w:t>05/2021</w:t>
      </w:r>
      <w:proofErr w:type="gramEnd"/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033B27">
        <w:rPr>
          <w:rFonts w:ascii="Times New Roman" w:hAnsi="Times New Roman" w:cs="Times New Roman"/>
          <w:sz w:val="24"/>
          <w:szCs w:val="24"/>
        </w:rPr>
        <w:t>que a instituição da Comissão Especial E</w:t>
      </w:r>
      <w:r>
        <w:rPr>
          <w:rFonts w:ascii="Times New Roman" w:hAnsi="Times New Roman" w:cs="Times New Roman"/>
          <w:sz w:val="24"/>
          <w:szCs w:val="24"/>
        </w:rPr>
        <w:t>leito</w:t>
      </w:r>
      <w:r w:rsidR="00FC349A">
        <w:rPr>
          <w:rFonts w:ascii="Times New Roman" w:hAnsi="Times New Roman" w:cs="Times New Roman"/>
          <w:sz w:val="24"/>
          <w:szCs w:val="24"/>
        </w:rPr>
        <w:t>ral foi realizada na Ata 05/2021</w:t>
      </w:r>
      <w:r w:rsidRPr="00033B27">
        <w:rPr>
          <w:rFonts w:ascii="Times New Roman" w:hAnsi="Times New Roman" w:cs="Times New Roman"/>
          <w:sz w:val="24"/>
          <w:szCs w:val="24"/>
        </w:rPr>
        <w:t xml:space="preserve"> do CMDCA, mas devido alteração na composição do conselho, foi necessário atualizar a respectiva comissão.</w:t>
      </w:r>
    </w:p>
    <w:p w:rsidR="00B83A3B" w:rsidRDefault="00B83A3B" w:rsidP="00B83A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A3B" w:rsidRPr="00033B27" w:rsidRDefault="00B83A3B" w:rsidP="00B83A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27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Art. 1º Instituir Comissão Especial Eleitoral com o objetivo de conduzir o processo de escolha dos membros do Conselho Tutelar, composta por </w:t>
      </w:r>
      <w:r w:rsidR="00B80261">
        <w:rPr>
          <w:rFonts w:ascii="Times New Roman" w:hAnsi="Times New Roman" w:cs="Times New Roman"/>
          <w:sz w:val="24"/>
          <w:szCs w:val="24"/>
        </w:rPr>
        <w:t>duas</w:t>
      </w:r>
      <w:r w:rsidRPr="00033B27">
        <w:rPr>
          <w:rFonts w:ascii="Times New Roman" w:hAnsi="Times New Roman" w:cs="Times New Roman"/>
          <w:sz w:val="24"/>
          <w:szCs w:val="24"/>
        </w:rPr>
        <w:t xml:space="preserve"> </w:t>
      </w:r>
      <w:r w:rsidR="00CE3F13">
        <w:rPr>
          <w:rFonts w:ascii="Times New Roman" w:hAnsi="Times New Roman" w:cs="Times New Roman"/>
          <w:sz w:val="24"/>
          <w:szCs w:val="24"/>
        </w:rPr>
        <w:t>fases eliminatórias: inscrição</w:t>
      </w:r>
      <w:r w:rsidRPr="00033B27">
        <w:rPr>
          <w:rFonts w:ascii="Times New Roman" w:hAnsi="Times New Roman" w:cs="Times New Roman"/>
          <w:sz w:val="24"/>
          <w:szCs w:val="24"/>
        </w:rPr>
        <w:t xml:space="preserve"> e eleição dos candidatos aprovados; </w:t>
      </w:r>
    </w:p>
    <w:p w:rsidR="00B83A3B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Art. 2º Integra a Comissão Especial Eleitoral os seguintes conselheiros: </w:t>
      </w:r>
    </w:p>
    <w:p w:rsidR="00B80261" w:rsidRDefault="00B80261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</w:t>
      </w:r>
      <w:proofErr w:type="spellStart"/>
      <w:r>
        <w:rPr>
          <w:rFonts w:ascii="Times New Roman" w:hAnsi="Times New Roman" w:cs="Times New Roman"/>
          <w:sz w:val="24"/>
          <w:szCs w:val="24"/>
        </w:rPr>
        <w:t>Grazielle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Henkemaier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1ª Secretária, Representante Governamental;</w:t>
      </w:r>
    </w:p>
    <w:p w:rsidR="00B80261" w:rsidRDefault="00B80261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- Mônica Celestino Ferreira – Suplente, Representante </w:t>
      </w:r>
      <w:proofErr w:type="gramStart"/>
      <w:r>
        <w:rPr>
          <w:rFonts w:ascii="Times New Roman" w:hAnsi="Times New Roman" w:cs="Times New Roman"/>
          <w:sz w:val="24"/>
          <w:szCs w:val="24"/>
        </w:rPr>
        <w:t>Governamental ;</w:t>
      </w:r>
      <w:proofErr w:type="gramEnd"/>
    </w:p>
    <w:p w:rsidR="00B80261" w:rsidRDefault="00B80261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4546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460">
        <w:rPr>
          <w:rFonts w:ascii="Times New Roman" w:hAnsi="Times New Roman" w:cs="Times New Roman"/>
          <w:sz w:val="24"/>
          <w:szCs w:val="24"/>
        </w:rPr>
        <w:t>José Augusto de Oliveira – 2° Tesoureiro, Representante Não Governamental;</w:t>
      </w:r>
    </w:p>
    <w:p w:rsidR="00245460" w:rsidRDefault="00245460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Daiane da Silva Melo – 2ª Secretária, Representante Governamental.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§1º A Comissão Especial Eleitoral será presidida pela senhora </w:t>
      </w:r>
      <w:proofErr w:type="spellStart"/>
      <w:r w:rsidR="00245460">
        <w:rPr>
          <w:rFonts w:ascii="Times New Roman" w:hAnsi="Times New Roman" w:cs="Times New Roman"/>
          <w:sz w:val="24"/>
          <w:szCs w:val="24"/>
        </w:rPr>
        <w:t>Grazielle</w:t>
      </w:r>
      <w:proofErr w:type="spellEnd"/>
      <w:r w:rsidR="0024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460">
        <w:rPr>
          <w:rFonts w:ascii="Times New Roman" w:hAnsi="Times New Roman" w:cs="Times New Roman"/>
          <w:sz w:val="24"/>
          <w:szCs w:val="24"/>
        </w:rPr>
        <w:t>Henkemaier</w:t>
      </w:r>
      <w:proofErr w:type="spellEnd"/>
      <w:r w:rsidRPr="00033B27">
        <w:rPr>
          <w:rFonts w:ascii="Times New Roman" w:hAnsi="Times New Roman" w:cs="Times New Roman"/>
          <w:sz w:val="24"/>
          <w:szCs w:val="24"/>
        </w:rPr>
        <w:t xml:space="preserve">, </w:t>
      </w:r>
      <w:r w:rsidR="002A51E4">
        <w:rPr>
          <w:rFonts w:ascii="Times New Roman" w:hAnsi="Times New Roman" w:cs="Times New Roman"/>
          <w:sz w:val="24"/>
          <w:szCs w:val="24"/>
        </w:rPr>
        <w:t>1ª Secretária</w:t>
      </w:r>
      <w:r w:rsidRPr="00033B27">
        <w:rPr>
          <w:rFonts w:ascii="Times New Roman" w:hAnsi="Times New Roman" w:cs="Times New Roman"/>
          <w:sz w:val="24"/>
          <w:szCs w:val="24"/>
        </w:rPr>
        <w:t xml:space="preserve"> do Conselho Munici</w:t>
      </w:r>
      <w:bookmarkStart w:id="0" w:name="_GoBack"/>
      <w:bookmarkEnd w:id="0"/>
      <w:r w:rsidRPr="00033B27">
        <w:rPr>
          <w:rFonts w:ascii="Times New Roman" w:hAnsi="Times New Roman" w:cs="Times New Roman"/>
          <w:sz w:val="24"/>
          <w:szCs w:val="24"/>
        </w:rPr>
        <w:t xml:space="preserve">pal dos Direitos da Criança e do Adolescente – CMDCA de Bocaina do Sul;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§2º Não poderão fazer parte da Comissão, os conselheiros que concorrerão ao processo de escolha dos membros do Conselho Tutelar ou que possuam cônjuge, companheiro, ainda que em união </w:t>
      </w:r>
      <w:proofErr w:type="spellStart"/>
      <w:r w:rsidRPr="00033B27">
        <w:rPr>
          <w:rFonts w:ascii="Times New Roman" w:hAnsi="Times New Roman" w:cs="Times New Roman"/>
          <w:sz w:val="24"/>
          <w:szCs w:val="24"/>
        </w:rPr>
        <w:t>homoafetiva</w:t>
      </w:r>
      <w:proofErr w:type="spellEnd"/>
      <w:r w:rsidRPr="00033B27">
        <w:rPr>
          <w:rFonts w:ascii="Times New Roman" w:hAnsi="Times New Roman" w:cs="Times New Roman"/>
          <w:sz w:val="24"/>
          <w:szCs w:val="24"/>
        </w:rPr>
        <w:t xml:space="preserve">, ou parentes em linha reta, colateral ou por afinidade, até o terceiro grau, como: filhos, pais, irmãos, enteados, padrasto, madrasta ou tios, que irão participar do processo;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lastRenderedPageBreak/>
        <w:t xml:space="preserve">§3º Caso algum membro do CMDCA venha a tornar-se impedido por conta do disposto no §2º deste artigo, será afastado da Comissão, sendo substituído por qualquer outro conselheiro, inclusive suplente;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Art. 3º Compete a Comissão Eleitoral: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I - a escolha dos locais de votação e apuração, observando, em qualquer caso, a facilidade de acesso à população e as condições de acessibilidade de eleitores com deficiência, idosos e que possuam dificuldade de locomoção;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II - a realização de reunião destinada a informar aos candidatos, fiscais e demais participantes sobre as condutas vedadas durante a campanha e no dia da votação;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III - a ampla divulgação da eleição junto à população, assim como dos </w:t>
      </w:r>
      <w:proofErr w:type="gramStart"/>
      <w:r w:rsidRPr="00033B27">
        <w:rPr>
          <w:rFonts w:ascii="Times New Roman" w:hAnsi="Times New Roman" w:cs="Times New Roman"/>
          <w:sz w:val="24"/>
          <w:szCs w:val="24"/>
        </w:rPr>
        <w:t>locais e horário de início e término votação</w:t>
      </w:r>
      <w:proofErr w:type="gramEnd"/>
      <w:r w:rsidRPr="00033B27">
        <w:rPr>
          <w:rFonts w:ascii="Times New Roman" w:hAnsi="Times New Roman" w:cs="Times New Roman"/>
          <w:sz w:val="24"/>
          <w:szCs w:val="24"/>
        </w:rPr>
        <w:t>, tanto por meio dos órgãos oficiais, quanto por meio de cartazes e chamadas em programas de rádio;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IV - a ampla divulgação do </w:t>
      </w:r>
      <w:proofErr w:type="gramStart"/>
      <w:r w:rsidRPr="00033B27">
        <w:rPr>
          <w:rFonts w:ascii="Times New Roman" w:hAnsi="Times New Roman" w:cs="Times New Roman"/>
          <w:sz w:val="24"/>
          <w:szCs w:val="24"/>
        </w:rPr>
        <w:t>local e horários em que receberá denúncias acerca de irregularidades na propaganda</w:t>
      </w:r>
      <w:proofErr w:type="gramEnd"/>
      <w:r w:rsidRPr="00033B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V - providenciar a confecção das cédulas eleitorais, conforme modelo previamente aprovado, criando mecanismos de segurança que impeçam a duplicação daquelas por terceiros, de modo a evitar fraudes;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VI - providenciar a seleção e adequada capacitação dos mesários, secretários de mesa e demais servidores designados para atuar no dia da eleição;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>VII - providenciar apoio junto aos órgãos de segurança pública, mediante contato prévio junto ao comando da Polícia Militar, para garantir a segurança dos locais de votação e apuração de votos, além de coibir possíveis abusos e/ou tumultos;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VIII - o transporte seguro das cédulas e urnas eleitorais até os locais de votação e onde ocorrerá a apuração dos votos, devendo prever, com a antecedência devida, a forma como isto ocorrerá;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IX - a devida organização dos locais de votação, com a colocação das urnas e cabines de votação em locais adequados, fornecimento de canetas de cor padrão (e diferenciada) para as cabines de votação, mesas receptoras e apuradoras, cartazes contendo orientação aos eleitores, alimentação para os mesários etc.;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X - a confecção, juntamente com as cédulas para votação manual, de crachás ou outras formas de identificação dos mesários, secretários, auxiliares, escrutinadores, membros da própria Comissão Especial (além de outros servidores que </w:t>
      </w:r>
      <w:proofErr w:type="gramStart"/>
      <w:r w:rsidRPr="00033B27">
        <w:rPr>
          <w:rFonts w:ascii="Times New Roman" w:hAnsi="Times New Roman" w:cs="Times New Roman"/>
          <w:sz w:val="24"/>
          <w:szCs w:val="24"/>
        </w:rPr>
        <w:t>atuarão,</w:t>
      </w:r>
      <w:proofErr w:type="gramEnd"/>
      <w:r w:rsidRPr="00033B27">
        <w:rPr>
          <w:rFonts w:ascii="Times New Roman" w:hAnsi="Times New Roman" w:cs="Times New Roman"/>
          <w:sz w:val="24"/>
          <w:szCs w:val="24"/>
        </w:rPr>
        <w:t xml:space="preserve"> em caráter oficial, no processo de escolha), seguindo modelo padrão previamente aprovado, que deverão ser a todos distribuídos com a antecedência devida;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lastRenderedPageBreak/>
        <w:t xml:space="preserve">XI - a designação de servidores para atuar nos locais de votação e apuração, orientando eleitores e prestando apoio administrativo aos mesários, escrutinadores e à própria comissão Especial.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XII - Divulgar, imediatamente após a apuração, o resultado oficial da votação; </w:t>
      </w:r>
      <w:proofErr w:type="gramStart"/>
      <w:r w:rsidRPr="00033B2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33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XIII - Resolver os casos omissos. </w:t>
      </w:r>
    </w:p>
    <w:p w:rsidR="00B83A3B" w:rsidRPr="00033B27" w:rsidRDefault="00B83A3B" w:rsidP="00B83A3B">
      <w:pPr>
        <w:jc w:val="both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Art. 4º - Esta Resolução entra em vigor a partir da data de sua aprovação. </w:t>
      </w:r>
    </w:p>
    <w:p w:rsidR="00B83A3B" w:rsidRPr="00033B27" w:rsidRDefault="00B83A3B" w:rsidP="00B83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B83A3B" w:rsidP="00B83A3B">
      <w:pPr>
        <w:jc w:val="right"/>
        <w:rPr>
          <w:rFonts w:ascii="Times New Roman" w:hAnsi="Times New Roman" w:cs="Times New Roman"/>
          <w:sz w:val="24"/>
          <w:szCs w:val="24"/>
        </w:rPr>
      </w:pPr>
      <w:r w:rsidRPr="00033B27">
        <w:rPr>
          <w:rFonts w:ascii="Times New Roman" w:hAnsi="Times New Roman" w:cs="Times New Roman"/>
          <w:sz w:val="24"/>
          <w:szCs w:val="24"/>
        </w:rPr>
        <w:t xml:space="preserve">Bocaina do Sul, </w:t>
      </w:r>
      <w:r w:rsidR="00021CDE">
        <w:rPr>
          <w:rFonts w:ascii="Times New Roman" w:hAnsi="Times New Roman" w:cs="Times New Roman"/>
          <w:sz w:val="24"/>
          <w:szCs w:val="24"/>
        </w:rPr>
        <w:t>27 de outubro</w:t>
      </w:r>
      <w:r w:rsidRPr="00033B27">
        <w:rPr>
          <w:rFonts w:ascii="Times New Roman" w:hAnsi="Times New Roman" w:cs="Times New Roman"/>
          <w:sz w:val="24"/>
          <w:szCs w:val="24"/>
        </w:rPr>
        <w:t xml:space="preserve"> de 20</w:t>
      </w:r>
      <w:r w:rsidR="00021CDE">
        <w:rPr>
          <w:rFonts w:ascii="Times New Roman" w:hAnsi="Times New Roman" w:cs="Times New Roman"/>
          <w:sz w:val="24"/>
          <w:szCs w:val="24"/>
        </w:rPr>
        <w:t>2</w:t>
      </w:r>
      <w:r w:rsidRPr="00033B27">
        <w:rPr>
          <w:rFonts w:ascii="Times New Roman" w:hAnsi="Times New Roman" w:cs="Times New Roman"/>
          <w:sz w:val="24"/>
          <w:szCs w:val="24"/>
        </w:rPr>
        <w:t>1.</w:t>
      </w:r>
    </w:p>
    <w:p w:rsidR="00B83A3B" w:rsidRPr="00033B27" w:rsidRDefault="00B83A3B" w:rsidP="00B83A3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B83A3B" w:rsidP="00B83A3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B83A3B" w:rsidP="00B8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B83A3B" w:rsidP="00B8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B83A3B" w:rsidP="00B8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A3B" w:rsidRPr="00033B27" w:rsidRDefault="00245460" w:rsidP="00B83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GRAZIELLE HENKEMAIER</w:t>
      </w:r>
    </w:p>
    <w:p w:rsidR="00B83A3B" w:rsidRPr="00033B27" w:rsidRDefault="002A51E4" w:rsidP="00B83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da </w:t>
      </w:r>
      <w:r w:rsidRPr="00033B27">
        <w:rPr>
          <w:rFonts w:ascii="Times New Roman" w:hAnsi="Times New Roman" w:cs="Times New Roman"/>
          <w:sz w:val="24"/>
          <w:szCs w:val="24"/>
        </w:rPr>
        <w:t>Comissão Especial</w:t>
      </w:r>
    </w:p>
    <w:p w:rsidR="00A91DD2" w:rsidRDefault="00A91DD2"/>
    <w:sectPr w:rsidR="00A91DD2" w:rsidSect="00143E62">
      <w:headerReference w:type="default" r:id="rId7"/>
      <w:pgSz w:w="11906" w:h="16838" w:code="9"/>
      <w:pgMar w:top="224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D7" w:rsidRDefault="00735ABF">
      <w:pPr>
        <w:spacing w:after="0" w:line="240" w:lineRule="auto"/>
      </w:pPr>
      <w:r>
        <w:separator/>
      </w:r>
    </w:p>
  </w:endnote>
  <w:endnote w:type="continuationSeparator" w:id="0">
    <w:p w:rsidR="00BE36D7" w:rsidRDefault="0073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D7" w:rsidRDefault="00735ABF">
      <w:pPr>
        <w:spacing w:after="0" w:line="240" w:lineRule="auto"/>
      </w:pPr>
      <w:r>
        <w:separator/>
      </w:r>
    </w:p>
  </w:footnote>
  <w:footnote w:type="continuationSeparator" w:id="0">
    <w:p w:rsidR="00BE36D7" w:rsidRDefault="0073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62" w:rsidRDefault="00B373DE">
    <w:pPr>
      <w:pStyle w:val="Cabealho"/>
    </w:pPr>
    <w:r w:rsidRPr="00B63253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0A1AAD0" wp14:editId="0522E84D">
          <wp:simplePos x="0" y="0"/>
          <wp:positionH relativeFrom="column">
            <wp:posOffset>54934</wp:posOffset>
          </wp:positionH>
          <wp:positionV relativeFrom="paragraph">
            <wp:posOffset>-243014</wp:posOffset>
          </wp:positionV>
          <wp:extent cx="4738254" cy="1115041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254" cy="1115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3B"/>
    <w:rsid w:val="00021CDE"/>
    <w:rsid w:val="00245460"/>
    <w:rsid w:val="002A51E4"/>
    <w:rsid w:val="00701D2A"/>
    <w:rsid w:val="00735ABF"/>
    <w:rsid w:val="00A91DD2"/>
    <w:rsid w:val="00AA5FA1"/>
    <w:rsid w:val="00B373DE"/>
    <w:rsid w:val="00B80261"/>
    <w:rsid w:val="00B83A3B"/>
    <w:rsid w:val="00BE36D7"/>
    <w:rsid w:val="00CE3F13"/>
    <w:rsid w:val="00FC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A3B"/>
  </w:style>
  <w:style w:type="paragraph" w:customStyle="1" w:styleId="Default">
    <w:name w:val="Default"/>
    <w:rsid w:val="00B83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21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A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A3B"/>
  </w:style>
  <w:style w:type="paragraph" w:customStyle="1" w:styleId="Default">
    <w:name w:val="Default"/>
    <w:rsid w:val="00B83A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21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Lar</dc:creator>
  <cp:lastModifiedBy>ADV-02</cp:lastModifiedBy>
  <cp:revision>7</cp:revision>
  <cp:lastPrinted>2021-10-27T16:11:00Z</cp:lastPrinted>
  <dcterms:created xsi:type="dcterms:W3CDTF">2021-10-25T16:58:00Z</dcterms:created>
  <dcterms:modified xsi:type="dcterms:W3CDTF">2021-10-27T16:11:00Z</dcterms:modified>
</cp:coreProperties>
</file>